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3207" w:rsidRPr="00783207" w:rsidRDefault="00783207" w:rsidP="00783207">
      <w:pPr>
        <w:widowControl/>
        <w:shd w:val="clear" w:color="auto" w:fill="FFFFFF"/>
        <w:outlineLvl w:val="1"/>
        <w:rPr>
          <w:rFonts w:ascii="inherit" w:eastAsia="微軟正黑體" w:hAnsi="inherit" w:cs="新細明體" w:hint="eastAsia"/>
          <w:b/>
          <w:bCs/>
          <w:color w:val="000000"/>
          <w:kern w:val="0"/>
          <w:sz w:val="36"/>
          <w:szCs w:val="36"/>
          <w:lang w:bidi="ar-SA"/>
        </w:rPr>
      </w:pPr>
      <w:r w:rsidRPr="00783207">
        <w:rPr>
          <w:rFonts w:ascii="inherit" w:eastAsia="微軟正黑體" w:hAnsi="inherit" w:cs="新細明體"/>
          <w:b/>
          <w:bCs/>
          <w:color w:val="000000"/>
          <w:kern w:val="0"/>
          <w:sz w:val="36"/>
          <w:szCs w:val="36"/>
          <w:lang w:bidi="ar-SA"/>
        </w:rPr>
        <w:t>第</w:t>
      </w:r>
      <w:r w:rsidRPr="00783207">
        <w:rPr>
          <w:rFonts w:ascii="inherit" w:eastAsia="微軟正黑體" w:hAnsi="inherit" w:cs="新細明體"/>
          <w:b/>
          <w:bCs/>
          <w:color w:val="000000"/>
          <w:kern w:val="0"/>
          <w:sz w:val="36"/>
          <w:szCs w:val="36"/>
          <w:lang w:bidi="ar-SA"/>
        </w:rPr>
        <w:t xml:space="preserve"> 74 </w:t>
      </w:r>
      <w:r w:rsidRPr="00783207">
        <w:rPr>
          <w:rFonts w:ascii="inherit" w:eastAsia="微軟正黑體" w:hAnsi="inherit" w:cs="新細明體"/>
          <w:b/>
          <w:bCs/>
          <w:color w:val="000000"/>
          <w:kern w:val="0"/>
          <w:sz w:val="36"/>
          <w:szCs w:val="36"/>
          <w:lang w:bidi="ar-SA"/>
        </w:rPr>
        <w:t>期（</w:t>
      </w:r>
      <w:r w:rsidRPr="00783207">
        <w:rPr>
          <w:rFonts w:ascii="inherit" w:eastAsia="微軟正黑體" w:hAnsi="inherit" w:cs="新細明體"/>
          <w:b/>
          <w:bCs/>
          <w:color w:val="000000"/>
          <w:kern w:val="0"/>
          <w:sz w:val="36"/>
          <w:szCs w:val="36"/>
          <w:lang w:bidi="ar-SA"/>
        </w:rPr>
        <w:t>2022</w:t>
      </w:r>
      <w:r w:rsidRPr="00783207">
        <w:rPr>
          <w:rFonts w:ascii="inherit" w:eastAsia="微軟正黑體" w:hAnsi="inherit" w:cs="新細明體"/>
          <w:b/>
          <w:bCs/>
          <w:color w:val="000000"/>
          <w:kern w:val="0"/>
          <w:sz w:val="36"/>
          <w:szCs w:val="36"/>
          <w:lang w:bidi="ar-SA"/>
        </w:rPr>
        <w:t>年）</w:t>
      </w:r>
    </w:p>
    <w:p w:rsidR="00783207" w:rsidRPr="00783207" w:rsidRDefault="00783207" w:rsidP="00783207">
      <w:pPr>
        <w:widowControl/>
        <w:shd w:val="clear" w:color="auto" w:fill="FFFFFF"/>
        <w:spacing w:after="150" w:line="480" w:lineRule="atLeast"/>
        <w:rPr>
          <w:rFonts w:ascii="微軟正黑體" w:eastAsia="微軟正黑體" w:hAnsi="微軟正黑體" w:cs="新細明體" w:hint="eastAsia"/>
          <w:color w:val="000000"/>
          <w:kern w:val="0"/>
          <w:szCs w:val="24"/>
          <w:lang w:bidi="ar-SA"/>
        </w:rPr>
      </w:pPr>
      <w:r w:rsidRPr="00783207">
        <w:rPr>
          <w:rFonts w:ascii="微軟正黑體" w:eastAsia="微軟正黑體" w:hAnsi="微軟正黑體" w:cs="新細明體" w:hint="eastAsia"/>
          <w:color w:val="000000"/>
          <w:kern w:val="0"/>
          <w:szCs w:val="24"/>
          <w:lang w:bidi="ar-SA"/>
        </w:rPr>
        <w:t>一、</w:t>
      </w:r>
      <w:r w:rsidRPr="00783207">
        <w:rPr>
          <w:rFonts w:ascii="微軟正黑體" w:eastAsia="微軟正黑體" w:hAnsi="微軟正黑體" w:cs="新細明體" w:hint="eastAsia"/>
          <w:color w:val="000000"/>
          <w:kern w:val="0"/>
          <w:szCs w:val="24"/>
          <w:lang w:bidi="ar-SA"/>
        </w:rPr>
        <w:br/>
        <w:t>篇名：</w:t>
      </w:r>
      <w:hyperlink r:id="rId4" w:history="1">
        <w:r w:rsidRPr="00783207">
          <w:rPr>
            <w:rStyle w:val="a3"/>
            <w:rFonts w:ascii="微軟正黑體" w:eastAsia="微軟正黑體" w:hAnsi="微軟正黑體" w:cs="新細明體" w:hint="eastAsia"/>
            <w:kern w:val="0"/>
            <w:szCs w:val="24"/>
            <w:lang w:bidi="ar-SA"/>
          </w:rPr>
          <w:t>自駕車資料法制之比較研究</w:t>
        </w:r>
      </w:hyperlink>
      <w:r w:rsidRPr="00783207">
        <w:rPr>
          <w:rFonts w:ascii="微軟正黑體" w:eastAsia="微軟正黑體" w:hAnsi="微軟正黑體" w:cs="新細明體" w:hint="eastAsia"/>
          <w:color w:val="000000"/>
          <w:kern w:val="0"/>
          <w:szCs w:val="24"/>
          <w:lang w:bidi="ar-SA"/>
        </w:rPr>
        <w:br/>
        <w:t>作者：廖曼庭；莊弘鈺</w:t>
      </w:r>
      <w:r w:rsidRPr="00783207">
        <w:rPr>
          <w:rFonts w:ascii="微軟正黑體" w:eastAsia="微軟正黑體" w:hAnsi="微軟正黑體" w:cs="新細明體" w:hint="eastAsia"/>
          <w:color w:val="000000"/>
          <w:kern w:val="0"/>
          <w:szCs w:val="24"/>
          <w:lang w:bidi="ar-SA"/>
        </w:rPr>
        <w:br/>
        <w:t>出版年：2022</w:t>
      </w:r>
      <w:r w:rsidRPr="00783207">
        <w:rPr>
          <w:rFonts w:ascii="微軟正黑體" w:eastAsia="微軟正黑體" w:hAnsi="微軟正黑體" w:cs="新細明體" w:hint="eastAsia"/>
          <w:color w:val="000000"/>
          <w:kern w:val="0"/>
          <w:szCs w:val="24"/>
          <w:lang w:bidi="ar-SA"/>
        </w:rPr>
        <w:br/>
        <w:t>中文摘要：自駕車技術需要眾多的感測器取代人類眼睛之工作，並配合上人工智慧演算法，利用感測器所回報之數據計算出正確的操作。</w:t>
      </w:r>
      <w:proofErr w:type="gramStart"/>
      <w:r w:rsidRPr="00783207">
        <w:rPr>
          <w:rFonts w:ascii="微軟正黑體" w:eastAsia="微軟正黑體" w:hAnsi="微軟正黑體" w:cs="新細明體" w:hint="eastAsia"/>
          <w:color w:val="000000"/>
          <w:kern w:val="0"/>
          <w:szCs w:val="24"/>
          <w:lang w:bidi="ar-SA"/>
        </w:rPr>
        <w:t>此些感測</w:t>
      </w:r>
      <w:proofErr w:type="gramEnd"/>
      <w:r w:rsidRPr="00783207">
        <w:rPr>
          <w:rFonts w:ascii="微軟正黑體" w:eastAsia="微軟正黑體" w:hAnsi="微軟正黑體" w:cs="新細明體" w:hint="eastAsia"/>
          <w:color w:val="000000"/>
          <w:kern w:val="0"/>
          <w:szCs w:val="24"/>
          <w:lang w:bidi="ar-SA"/>
        </w:rPr>
        <w:t>器所蒐集之資料具有不可或缺之地位，然而其中完整的資料蒐集問題卻僅有零星的討論，更遑論法規層面能有全面的規範。各國目前響應自駕車產業的發展多有相對應的政策、指南或是已訂立出法律，然而其中針對資料蒐集議題之規範不僅屈指可數，且在自駕車資料蒐集議題未被完整的瞭解與討論之前亦容易有所缺漏。有</w:t>
      </w:r>
      <w:proofErr w:type="gramStart"/>
      <w:r w:rsidRPr="00783207">
        <w:rPr>
          <w:rFonts w:ascii="微軟正黑體" w:eastAsia="微軟正黑體" w:hAnsi="微軟正黑體" w:cs="新細明體" w:hint="eastAsia"/>
          <w:color w:val="000000"/>
          <w:kern w:val="0"/>
          <w:szCs w:val="24"/>
          <w:lang w:bidi="ar-SA"/>
        </w:rPr>
        <w:t>鑑</w:t>
      </w:r>
      <w:proofErr w:type="gramEnd"/>
      <w:r w:rsidRPr="00783207">
        <w:rPr>
          <w:rFonts w:ascii="微軟正黑體" w:eastAsia="微軟正黑體" w:hAnsi="微軟正黑體" w:cs="新細明體" w:hint="eastAsia"/>
          <w:color w:val="000000"/>
          <w:kern w:val="0"/>
          <w:szCs w:val="24"/>
          <w:lang w:bidi="ar-SA"/>
        </w:rPr>
        <w:t>於我國於2018年通過《無人載具科技創新實驗條例》，目前自駕車已進入測試之階段，因此本文擬透過相關文獻先行定義出自駕車資料蒐集之議題，包括資料的蒐集與否及範圍、儲存的時間、蒐集後的處理以及使用等。其後透過分析與比較美國與歐盟的相關討論、指南、法規等，針對自駕車資料蒐集議題提出管制之利與弊，以期未來在我國自駕車資料蒐集議題之立法上能夠有所貢獻。</w:t>
      </w:r>
      <w:r w:rsidRPr="00783207">
        <w:rPr>
          <w:rFonts w:ascii="微軟正黑體" w:eastAsia="微軟正黑體" w:hAnsi="微軟正黑體" w:cs="新細明體" w:hint="eastAsia"/>
          <w:color w:val="000000"/>
          <w:kern w:val="0"/>
          <w:szCs w:val="24"/>
          <w:lang w:bidi="ar-SA"/>
        </w:rPr>
        <w:br/>
        <w:t>起始頁-結束頁：1</w:t>
      </w:r>
      <w:proofErr w:type="gramStart"/>
      <w:r w:rsidRPr="00783207">
        <w:rPr>
          <w:rFonts w:ascii="微軟正黑體" w:eastAsia="微軟正黑體" w:hAnsi="微軟正黑體" w:cs="新細明體" w:hint="eastAsia"/>
          <w:color w:val="000000"/>
          <w:kern w:val="0"/>
          <w:szCs w:val="24"/>
          <w:lang w:bidi="ar-SA"/>
        </w:rPr>
        <w:t>–</w:t>
      </w:r>
      <w:proofErr w:type="gramEnd"/>
      <w:r w:rsidRPr="00783207">
        <w:rPr>
          <w:rFonts w:ascii="微軟正黑體" w:eastAsia="微軟正黑體" w:hAnsi="微軟正黑體" w:cs="新細明體" w:hint="eastAsia"/>
          <w:color w:val="000000"/>
          <w:kern w:val="0"/>
          <w:szCs w:val="24"/>
          <w:lang w:bidi="ar-SA"/>
        </w:rPr>
        <w:t xml:space="preserve"> 63。</w:t>
      </w:r>
    </w:p>
    <w:p w:rsidR="00783207" w:rsidRPr="00783207" w:rsidRDefault="00783207" w:rsidP="00783207">
      <w:pPr>
        <w:widowControl/>
        <w:shd w:val="clear" w:color="auto" w:fill="FFFFFF"/>
        <w:spacing w:after="150" w:line="480" w:lineRule="atLeast"/>
        <w:rPr>
          <w:rFonts w:ascii="微軟正黑體" w:eastAsia="微軟正黑體" w:hAnsi="微軟正黑體" w:cs="新細明體" w:hint="eastAsia"/>
          <w:color w:val="000000"/>
          <w:kern w:val="0"/>
          <w:szCs w:val="24"/>
          <w:lang w:bidi="ar-SA"/>
        </w:rPr>
      </w:pPr>
      <w:r w:rsidRPr="00783207">
        <w:rPr>
          <w:rFonts w:ascii="微軟正黑體" w:eastAsia="微軟正黑體" w:hAnsi="微軟正黑體" w:cs="新細明體" w:hint="eastAsia"/>
          <w:color w:val="000000"/>
          <w:kern w:val="0"/>
          <w:szCs w:val="24"/>
          <w:lang w:bidi="ar-SA"/>
        </w:rPr>
        <w:br/>
        <w:t>二、</w:t>
      </w:r>
      <w:r w:rsidRPr="00783207">
        <w:rPr>
          <w:rFonts w:ascii="微軟正黑體" w:eastAsia="微軟正黑體" w:hAnsi="微軟正黑體" w:cs="新細明體" w:hint="eastAsia"/>
          <w:color w:val="000000"/>
          <w:kern w:val="0"/>
          <w:szCs w:val="24"/>
          <w:lang w:bidi="ar-SA"/>
        </w:rPr>
        <w:br/>
        <w:t>篇名：</w:t>
      </w:r>
      <w:hyperlink r:id="rId5" w:history="1">
        <w:r w:rsidRPr="00783207">
          <w:rPr>
            <w:rStyle w:val="a3"/>
            <w:rFonts w:ascii="微軟正黑體" w:eastAsia="微軟正黑體" w:hAnsi="微軟正黑體" w:cs="新細明體" w:hint="eastAsia"/>
            <w:kern w:val="0"/>
            <w:szCs w:val="24"/>
            <w:lang w:bidi="ar-SA"/>
          </w:rPr>
          <w:t>刑法第一百四十條侮辱公務員及公署罪之保護法益之探討</w:t>
        </w:r>
      </w:hyperlink>
      <w:r w:rsidRPr="00783207">
        <w:rPr>
          <w:rFonts w:ascii="微軟正黑體" w:eastAsia="微軟正黑體" w:hAnsi="微軟正黑體" w:cs="新細明體" w:hint="eastAsia"/>
          <w:color w:val="000000"/>
          <w:kern w:val="0"/>
          <w:szCs w:val="24"/>
          <w:lang w:bidi="ar-SA"/>
        </w:rPr>
        <w:br/>
      </w:r>
      <w:r w:rsidRPr="00783207">
        <w:rPr>
          <w:rFonts w:ascii="微軟正黑體" w:eastAsia="微軟正黑體" w:hAnsi="微軟正黑體" w:cs="新細明體" w:hint="eastAsia"/>
          <w:color w:val="000000"/>
          <w:kern w:val="0"/>
          <w:szCs w:val="24"/>
          <w:lang w:bidi="ar-SA"/>
        </w:rPr>
        <w:lastRenderedPageBreak/>
        <w:t>作者：林政佑</w:t>
      </w:r>
      <w:r w:rsidRPr="00783207">
        <w:rPr>
          <w:rFonts w:ascii="微軟正黑體" w:eastAsia="微軟正黑體" w:hAnsi="微軟正黑體" w:cs="新細明體" w:hint="eastAsia"/>
          <w:color w:val="000000"/>
          <w:kern w:val="0"/>
          <w:szCs w:val="24"/>
          <w:lang w:bidi="ar-SA"/>
        </w:rPr>
        <w:br/>
        <w:t>出版年：2022</w:t>
      </w:r>
      <w:r w:rsidRPr="00783207">
        <w:rPr>
          <w:rFonts w:ascii="微軟正黑體" w:eastAsia="微軟正黑體" w:hAnsi="微軟正黑體" w:cs="新細明體" w:hint="eastAsia"/>
          <w:color w:val="000000"/>
          <w:kern w:val="0"/>
          <w:szCs w:val="24"/>
          <w:lang w:bidi="ar-SA"/>
        </w:rPr>
        <w:br/>
        <w:t>中文摘要：近年來有倡議廢除刑法第一百四十條侮辱公務員和公署罪的聲浪，本文認為是否廢除之前，應先瞭解該法條形成的過程、其在司法實務上的運作，以及本罪的其保護法益為何。本文首先分析探討刑法第一百四十條的形成過程，可以看到在晚清的大清刑律草案侮辱官吏罪和侮辱公署罪的規定是承襲自日本舊刑法和傳統中國法而來，用以維持身分制的秩序。從立法者原意來看，刑法第一百四十條的保護法益是維護威信。接著，本文觀察本條的司法實務，分析司法實務對本罪的侮辱之概念等構成要件及違法性層次之解釋，由此一方面瞭解實務上發展出不同於立法者原意的公務員或公署之「名譽」論的法益見解，看到司法實務在本條的構成要件</w:t>
      </w:r>
      <w:proofErr w:type="gramStart"/>
      <w:r w:rsidRPr="00783207">
        <w:rPr>
          <w:rFonts w:ascii="微軟正黑體" w:eastAsia="微軟正黑體" w:hAnsi="微軟正黑體" w:cs="新細明體" w:hint="eastAsia"/>
          <w:color w:val="000000"/>
          <w:kern w:val="0"/>
          <w:szCs w:val="24"/>
          <w:lang w:bidi="ar-SA"/>
        </w:rPr>
        <w:t>解釋上寬嚴</w:t>
      </w:r>
      <w:proofErr w:type="gramEnd"/>
      <w:r w:rsidRPr="00783207">
        <w:rPr>
          <w:rFonts w:ascii="微軟正黑體" w:eastAsia="微軟正黑體" w:hAnsi="微軟正黑體" w:cs="新細明體" w:hint="eastAsia"/>
          <w:color w:val="000000"/>
          <w:kern w:val="0"/>
          <w:szCs w:val="24"/>
          <w:lang w:bidi="ar-SA"/>
        </w:rPr>
        <w:t>有別，影響到人民對於公署或公務員的意見表達，本文認為由於本罪涉及到人民的政治性言論之表達，應就相關要件加以嚴格解釋，避免壓制到人民的言論自由。最後，本文檢視保護法益之兩種見解，以傷害原則與冒犯原則為檢視基準，由此探討本罪存續與否之正當性，結論認為</w:t>
      </w:r>
      <w:proofErr w:type="gramStart"/>
      <w:r w:rsidRPr="00783207">
        <w:rPr>
          <w:rFonts w:ascii="微軟正黑體" w:eastAsia="微軟正黑體" w:hAnsi="微軟正黑體" w:cs="新細明體" w:hint="eastAsia"/>
          <w:color w:val="000000"/>
          <w:kern w:val="0"/>
          <w:szCs w:val="24"/>
          <w:lang w:bidi="ar-SA"/>
        </w:rPr>
        <w:t>本罪應有</w:t>
      </w:r>
      <w:proofErr w:type="gramEnd"/>
      <w:r w:rsidRPr="00783207">
        <w:rPr>
          <w:rFonts w:ascii="微軟正黑體" w:eastAsia="微軟正黑體" w:hAnsi="微軟正黑體" w:cs="新細明體" w:hint="eastAsia"/>
          <w:color w:val="000000"/>
          <w:kern w:val="0"/>
          <w:szCs w:val="24"/>
          <w:lang w:bidi="ar-SA"/>
        </w:rPr>
        <w:t>刪除之必要。</w:t>
      </w:r>
      <w:r w:rsidRPr="00783207">
        <w:rPr>
          <w:rFonts w:ascii="微軟正黑體" w:eastAsia="微軟正黑體" w:hAnsi="微軟正黑體" w:cs="新細明體" w:hint="eastAsia"/>
          <w:color w:val="000000"/>
          <w:kern w:val="0"/>
          <w:szCs w:val="24"/>
          <w:lang w:bidi="ar-SA"/>
        </w:rPr>
        <w:br/>
        <w:t>起始頁-結束頁：65</w:t>
      </w:r>
      <w:proofErr w:type="gramStart"/>
      <w:r w:rsidRPr="00783207">
        <w:rPr>
          <w:rFonts w:ascii="微軟正黑體" w:eastAsia="微軟正黑體" w:hAnsi="微軟正黑體" w:cs="新細明體" w:hint="eastAsia"/>
          <w:color w:val="000000"/>
          <w:kern w:val="0"/>
          <w:szCs w:val="24"/>
          <w:lang w:bidi="ar-SA"/>
        </w:rPr>
        <w:t>–</w:t>
      </w:r>
      <w:proofErr w:type="gramEnd"/>
      <w:r w:rsidRPr="00783207">
        <w:rPr>
          <w:rFonts w:ascii="微軟正黑體" w:eastAsia="微軟正黑體" w:hAnsi="微軟正黑體" w:cs="新細明體" w:hint="eastAsia"/>
          <w:color w:val="000000"/>
          <w:kern w:val="0"/>
          <w:szCs w:val="24"/>
          <w:lang w:bidi="ar-SA"/>
        </w:rPr>
        <w:t xml:space="preserve"> 125。</w:t>
      </w:r>
    </w:p>
    <w:p w:rsidR="00783207" w:rsidRPr="00783207" w:rsidRDefault="00783207" w:rsidP="00783207">
      <w:pPr>
        <w:widowControl/>
        <w:shd w:val="clear" w:color="auto" w:fill="FFFFFF"/>
        <w:spacing w:after="150" w:line="480" w:lineRule="atLeast"/>
        <w:rPr>
          <w:rFonts w:ascii="微軟正黑體" w:eastAsia="微軟正黑體" w:hAnsi="微軟正黑體" w:cs="新細明體" w:hint="eastAsia"/>
          <w:color w:val="000000"/>
          <w:kern w:val="0"/>
          <w:szCs w:val="24"/>
          <w:lang w:bidi="ar-SA"/>
        </w:rPr>
      </w:pPr>
      <w:r w:rsidRPr="00783207">
        <w:rPr>
          <w:rFonts w:ascii="微軟正黑體" w:eastAsia="微軟正黑體" w:hAnsi="微軟正黑體" w:cs="新細明體" w:hint="eastAsia"/>
          <w:color w:val="000000"/>
          <w:kern w:val="0"/>
          <w:szCs w:val="24"/>
          <w:lang w:bidi="ar-SA"/>
        </w:rPr>
        <w:br/>
        <w:t>三、</w:t>
      </w:r>
      <w:r w:rsidRPr="00783207">
        <w:rPr>
          <w:rFonts w:ascii="微軟正黑體" w:eastAsia="微軟正黑體" w:hAnsi="微軟正黑體" w:cs="新細明體" w:hint="eastAsia"/>
          <w:color w:val="000000"/>
          <w:kern w:val="0"/>
          <w:szCs w:val="24"/>
          <w:lang w:bidi="ar-SA"/>
        </w:rPr>
        <w:br/>
        <w:t>篇名：</w:t>
      </w:r>
      <w:hyperlink r:id="rId6" w:history="1">
        <w:r w:rsidRPr="00783207">
          <w:rPr>
            <w:rStyle w:val="a3"/>
            <w:rFonts w:ascii="微軟正黑體" w:eastAsia="微軟正黑體" w:hAnsi="微軟正黑體" w:cs="新細明體" w:hint="eastAsia"/>
            <w:kern w:val="0"/>
            <w:szCs w:val="24"/>
            <w:lang w:bidi="ar-SA"/>
          </w:rPr>
          <w:t>長期照顧服務之消費者保護法適用性</w:t>
        </w:r>
      </w:hyperlink>
      <w:r w:rsidRPr="00783207">
        <w:rPr>
          <w:rFonts w:ascii="微軟正黑體" w:eastAsia="微軟正黑體" w:hAnsi="微軟正黑體" w:cs="新細明體" w:hint="eastAsia"/>
          <w:color w:val="000000"/>
          <w:kern w:val="0"/>
          <w:szCs w:val="24"/>
          <w:lang w:bidi="ar-SA"/>
        </w:rPr>
        <w:br/>
        <w:t>作者：蔡璧竹</w:t>
      </w:r>
      <w:r w:rsidRPr="00783207">
        <w:rPr>
          <w:rFonts w:ascii="微軟正黑體" w:eastAsia="微軟正黑體" w:hAnsi="微軟正黑體" w:cs="新細明體" w:hint="eastAsia"/>
          <w:color w:val="000000"/>
          <w:kern w:val="0"/>
          <w:szCs w:val="24"/>
          <w:lang w:bidi="ar-SA"/>
        </w:rPr>
        <w:br/>
        <w:t>出版年：2022</w:t>
      </w:r>
      <w:r w:rsidRPr="00783207">
        <w:rPr>
          <w:rFonts w:ascii="微軟正黑體" w:eastAsia="微軟正黑體" w:hAnsi="微軟正黑體" w:cs="新細明體" w:hint="eastAsia"/>
          <w:color w:val="000000"/>
          <w:kern w:val="0"/>
          <w:szCs w:val="24"/>
          <w:lang w:bidi="ar-SA"/>
        </w:rPr>
        <w:br/>
      </w:r>
      <w:r w:rsidRPr="00783207">
        <w:rPr>
          <w:rFonts w:ascii="微軟正黑體" w:eastAsia="微軟正黑體" w:hAnsi="微軟正黑體" w:cs="新細明體" w:hint="eastAsia"/>
          <w:color w:val="000000"/>
          <w:kern w:val="0"/>
          <w:szCs w:val="24"/>
          <w:lang w:bidi="ar-SA"/>
        </w:rPr>
        <w:lastRenderedPageBreak/>
        <w:t>中文摘要：長期照顧服務法自106年實施，在長照2.0架構下推動長照服務給付支付與特約機制，隨後長照服務責任相關糾紛亦</w:t>
      </w:r>
      <w:proofErr w:type="gramStart"/>
      <w:r w:rsidRPr="00783207">
        <w:rPr>
          <w:rFonts w:ascii="微軟正黑體" w:eastAsia="微軟正黑體" w:hAnsi="微軟正黑體" w:cs="新細明體" w:hint="eastAsia"/>
          <w:color w:val="000000"/>
          <w:kern w:val="0"/>
          <w:szCs w:val="24"/>
          <w:lang w:bidi="ar-SA"/>
        </w:rPr>
        <w:t>紛</w:t>
      </w:r>
      <w:proofErr w:type="gramEnd"/>
      <w:r w:rsidRPr="00783207">
        <w:rPr>
          <w:rFonts w:ascii="微軟正黑體" w:eastAsia="微軟正黑體" w:hAnsi="微軟正黑體" w:cs="新細明體" w:hint="eastAsia"/>
          <w:color w:val="000000"/>
          <w:kern w:val="0"/>
          <w:szCs w:val="24"/>
          <w:lang w:bidi="ar-SA"/>
        </w:rPr>
        <w:t>沓而至。雖然長照服務責任之討論尚處於濫觴階段，但有關醫療服務風險之分配則已累積豐富論理基礎。醫療服務與長照服務具相似性，如高度公益性與市場管制、服務提供過程危險性及整體法律經濟效益考量等。本文爬梳醫療法訂定特殊服務責任之立法脈絡，期對長照服務服務責任法制建構，提出具體建議。其次，檢視近年法院有關長照服務適用消費者保護法無過失責任之判決可知：（1）長照服務原則上適用消費者保護法無過失責任，但有關消費關係之</w:t>
      </w:r>
      <w:proofErr w:type="gramStart"/>
      <w:r w:rsidRPr="00783207">
        <w:rPr>
          <w:rFonts w:ascii="微軟正黑體" w:eastAsia="微軟正黑體" w:hAnsi="微軟正黑體" w:cs="新細明體" w:hint="eastAsia"/>
          <w:color w:val="000000"/>
          <w:kern w:val="0"/>
          <w:szCs w:val="24"/>
          <w:lang w:bidi="ar-SA"/>
        </w:rPr>
        <w:t>涵攝仍</w:t>
      </w:r>
      <w:proofErr w:type="gramEnd"/>
      <w:r w:rsidRPr="00783207">
        <w:rPr>
          <w:rFonts w:ascii="微軟正黑體" w:eastAsia="微軟正黑體" w:hAnsi="微軟正黑體" w:cs="新細明體" w:hint="eastAsia"/>
          <w:color w:val="000000"/>
          <w:kern w:val="0"/>
          <w:szCs w:val="24"/>
          <w:lang w:bidi="ar-SA"/>
        </w:rPr>
        <w:t>未明確；（2）尚未建立穩定的因果關係解釋標準；（3）逐漸充實長照服務「當時科技或專業水準可合理期待安全性」之內涵，如納入人性尊嚴保障。為改善長照服務法規範體系可預見性、建立社會最大效益的風險分擔結構，本文建議發展類型化長照服務責任適用及長照服務常規，且需重新檢視國家於長照服務體系之角色與定位。</w:t>
      </w:r>
      <w:r w:rsidRPr="00783207">
        <w:rPr>
          <w:rFonts w:ascii="微軟正黑體" w:eastAsia="微軟正黑體" w:hAnsi="微軟正黑體" w:cs="新細明體" w:hint="eastAsia"/>
          <w:color w:val="000000"/>
          <w:kern w:val="0"/>
          <w:szCs w:val="24"/>
          <w:lang w:bidi="ar-SA"/>
        </w:rPr>
        <w:br/>
        <w:t>起始頁-結束頁：127</w:t>
      </w:r>
      <w:proofErr w:type="gramStart"/>
      <w:r w:rsidRPr="00783207">
        <w:rPr>
          <w:rFonts w:ascii="微軟正黑體" w:eastAsia="微軟正黑體" w:hAnsi="微軟正黑體" w:cs="新細明體" w:hint="eastAsia"/>
          <w:color w:val="000000"/>
          <w:kern w:val="0"/>
          <w:szCs w:val="24"/>
          <w:lang w:bidi="ar-SA"/>
        </w:rPr>
        <w:t>–</w:t>
      </w:r>
      <w:proofErr w:type="gramEnd"/>
      <w:r w:rsidRPr="00783207">
        <w:rPr>
          <w:rFonts w:ascii="微軟正黑體" w:eastAsia="微軟正黑體" w:hAnsi="微軟正黑體" w:cs="新細明體" w:hint="eastAsia"/>
          <w:color w:val="000000"/>
          <w:kern w:val="0"/>
          <w:szCs w:val="24"/>
          <w:lang w:bidi="ar-SA"/>
        </w:rPr>
        <w:t xml:space="preserve"> 191。</w:t>
      </w:r>
    </w:p>
    <w:p w:rsidR="00783207" w:rsidRPr="00783207" w:rsidRDefault="00783207" w:rsidP="00783207">
      <w:pPr>
        <w:widowControl/>
        <w:shd w:val="clear" w:color="auto" w:fill="FFFFFF"/>
        <w:spacing w:line="480" w:lineRule="atLeast"/>
        <w:rPr>
          <w:rFonts w:ascii="微軟正黑體" w:eastAsia="微軟正黑體" w:hAnsi="微軟正黑體" w:cs="新細明體" w:hint="eastAsia"/>
          <w:color w:val="000000"/>
          <w:kern w:val="0"/>
          <w:szCs w:val="24"/>
          <w:lang w:bidi="ar-SA"/>
        </w:rPr>
      </w:pPr>
      <w:r w:rsidRPr="00783207">
        <w:rPr>
          <w:rFonts w:ascii="微軟正黑體" w:eastAsia="微軟正黑體" w:hAnsi="微軟正黑體" w:cs="新細明體" w:hint="eastAsia"/>
          <w:color w:val="000000"/>
          <w:kern w:val="0"/>
          <w:szCs w:val="24"/>
          <w:lang w:bidi="ar-SA"/>
        </w:rPr>
        <w:br/>
        <w:t>四、</w:t>
      </w:r>
      <w:r w:rsidRPr="00783207">
        <w:rPr>
          <w:rFonts w:ascii="微軟正黑體" w:eastAsia="微軟正黑體" w:hAnsi="微軟正黑體" w:cs="新細明體" w:hint="eastAsia"/>
          <w:color w:val="000000"/>
          <w:kern w:val="0"/>
          <w:szCs w:val="24"/>
          <w:lang w:bidi="ar-SA"/>
        </w:rPr>
        <w:br/>
        <w:t>篇名：</w:t>
      </w:r>
      <w:hyperlink r:id="rId7" w:history="1">
        <w:r w:rsidRPr="00783207">
          <w:rPr>
            <w:rStyle w:val="a3"/>
            <w:rFonts w:ascii="微軟正黑體" w:eastAsia="微軟正黑體" w:hAnsi="微軟正黑體" w:cs="新細明體" w:hint="eastAsia"/>
            <w:kern w:val="0"/>
            <w:szCs w:val="24"/>
            <w:lang w:bidi="ar-SA"/>
          </w:rPr>
          <w:t>雙</w:t>
        </w:r>
        <w:proofErr w:type="gramStart"/>
        <w:r w:rsidRPr="00783207">
          <w:rPr>
            <w:rStyle w:val="a3"/>
            <w:rFonts w:ascii="微軟正黑體" w:eastAsia="微軟正黑體" w:hAnsi="微軟正黑體" w:cs="新細明體" w:hint="eastAsia"/>
            <w:kern w:val="0"/>
            <w:szCs w:val="24"/>
            <w:lang w:bidi="ar-SA"/>
          </w:rPr>
          <w:t>務</w:t>
        </w:r>
        <w:proofErr w:type="gramEnd"/>
        <w:r w:rsidRPr="00783207">
          <w:rPr>
            <w:rStyle w:val="a3"/>
            <w:rFonts w:ascii="微軟正黑體" w:eastAsia="微軟正黑體" w:hAnsi="微軟正黑體" w:cs="新細明體" w:hint="eastAsia"/>
            <w:kern w:val="0"/>
            <w:szCs w:val="24"/>
            <w:lang w:bidi="ar-SA"/>
          </w:rPr>
          <w:t>契約給付返還不當得利法之適用</w:t>
        </w:r>
      </w:hyperlink>
      <w:bookmarkStart w:id="0" w:name="_GoBack"/>
      <w:bookmarkEnd w:id="0"/>
      <w:r w:rsidRPr="00783207">
        <w:rPr>
          <w:rFonts w:ascii="微軟正黑體" w:eastAsia="微軟正黑體" w:hAnsi="微軟正黑體" w:cs="新細明體" w:hint="eastAsia"/>
          <w:color w:val="000000"/>
          <w:kern w:val="0"/>
          <w:szCs w:val="24"/>
          <w:lang w:bidi="ar-SA"/>
        </w:rPr>
        <w:br/>
        <w:t>作者：陳自強</w:t>
      </w:r>
      <w:r w:rsidRPr="00783207">
        <w:rPr>
          <w:rFonts w:ascii="微軟正黑體" w:eastAsia="微軟正黑體" w:hAnsi="微軟正黑體" w:cs="新細明體" w:hint="eastAsia"/>
          <w:color w:val="000000"/>
          <w:kern w:val="0"/>
          <w:szCs w:val="24"/>
          <w:lang w:bidi="ar-SA"/>
        </w:rPr>
        <w:br/>
        <w:t>出版年：2022</w:t>
      </w:r>
      <w:r w:rsidRPr="00783207">
        <w:rPr>
          <w:rFonts w:ascii="微軟正黑體" w:eastAsia="微軟正黑體" w:hAnsi="微軟正黑體" w:cs="新細明體" w:hint="eastAsia"/>
          <w:color w:val="000000"/>
          <w:kern w:val="0"/>
          <w:szCs w:val="24"/>
          <w:lang w:bidi="ar-SA"/>
        </w:rPr>
        <w:br/>
        <w:t>中文摘要：給付不當得利預設單方給付之返還，與契約解除法律效果之規定以雙</w:t>
      </w:r>
      <w:proofErr w:type="gramStart"/>
      <w:r w:rsidRPr="00783207">
        <w:rPr>
          <w:rFonts w:ascii="微軟正黑體" w:eastAsia="微軟正黑體" w:hAnsi="微軟正黑體" w:cs="新細明體" w:hint="eastAsia"/>
          <w:color w:val="000000"/>
          <w:kern w:val="0"/>
          <w:szCs w:val="24"/>
          <w:lang w:bidi="ar-SA"/>
        </w:rPr>
        <w:t>務</w:t>
      </w:r>
      <w:proofErr w:type="gramEnd"/>
      <w:r w:rsidRPr="00783207">
        <w:rPr>
          <w:rFonts w:ascii="微軟正黑體" w:eastAsia="微軟正黑體" w:hAnsi="微軟正黑體" w:cs="新細明體" w:hint="eastAsia"/>
          <w:color w:val="000000"/>
          <w:kern w:val="0"/>
          <w:szCs w:val="24"/>
          <w:lang w:bidi="ar-SA"/>
        </w:rPr>
        <w:t>契約為設想對象，大相逕庭。契約無效之返還與契約解除後之法律效果，</w:t>
      </w:r>
      <w:proofErr w:type="gramStart"/>
      <w:r w:rsidRPr="00783207">
        <w:rPr>
          <w:rFonts w:ascii="微軟正黑體" w:eastAsia="微軟正黑體" w:hAnsi="微軟正黑體" w:cs="新細明體" w:hint="eastAsia"/>
          <w:color w:val="000000"/>
          <w:kern w:val="0"/>
          <w:szCs w:val="24"/>
          <w:lang w:bidi="ar-SA"/>
        </w:rPr>
        <w:t>均為回復</w:t>
      </w:r>
      <w:proofErr w:type="gramEnd"/>
      <w:r w:rsidRPr="00783207">
        <w:rPr>
          <w:rFonts w:ascii="微軟正黑體" w:eastAsia="微軟正黑體" w:hAnsi="微軟正黑體" w:cs="新細明體" w:hint="eastAsia"/>
          <w:color w:val="000000"/>
          <w:kern w:val="0"/>
          <w:szCs w:val="24"/>
          <w:lang w:bidi="ar-SA"/>
        </w:rPr>
        <w:t>原狀，請求的目的在返還給付，而非除去受領人所現存之利益，目標一致。給付不當得利請求權排除、所受利益不存</w:t>
      </w:r>
      <w:r w:rsidRPr="00783207">
        <w:rPr>
          <w:rFonts w:ascii="微軟正黑體" w:eastAsia="微軟正黑體" w:hAnsi="微軟正黑體" w:cs="新細明體" w:hint="eastAsia"/>
          <w:color w:val="000000"/>
          <w:kern w:val="0"/>
          <w:szCs w:val="24"/>
          <w:lang w:bidi="ar-SA"/>
        </w:rPr>
        <w:lastRenderedPageBreak/>
        <w:t>在等規定無差別適用於無效雙</w:t>
      </w:r>
      <w:proofErr w:type="gramStart"/>
      <w:r w:rsidRPr="00783207">
        <w:rPr>
          <w:rFonts w:ascii="微軟正黑體" w:eastAsia="微軟正黑體" w:hAnsi="微軟正黑體" w:cs="新細明體" w:hint="eastAsia"/>
          <w:color w:val="000000"/>
          <w:kern w:val="0"/>
          <w:szCs w:val="24"/>
          <w:lang w:bidi="ar-SA"/>
        </w:rPr>
        <w:t>務</w:t>
      </w:r>
      <w:proofErr w:type="gramEnd"/>
      <w:r w:rsidRPr="00783207">
        <w:rPr>
          <w:rFonts w:ascii="微軟正黑體" w:eastAsia="微軟正黑體" w:hAnsi="微軟正黑體" w:cs="新細明體" w:hint="eastAsia"/>
          <w:color w:val="000000"/>
          <w:kern w:val="0"/>
          <w:szCs w:val="24"/>
          <w:lang w:bidi="ar-SA"/>
        </w:rPr>
        <w:t>契約之返還，牴觸契約回復原狀之本旨，有待商榷。最高法院在不僅在契約之解除，認為當事人亦得依不當得利請求返還，在合意解除契約、解除條件成就發生給付返還關係之情形，偏好不當得利之適用，不符合當事人意思自主及雙</w:t>
      </w:r>
      <w:proofErr w:type="gramStart"/>
      <w:r w:rsidRPr="00783207">
        <w:rPr>
          <w:rFonts w:ascii="微軟正黑體" w:eastAsia="微軟正黑體" w:hAnsi="微軟正黑體" w:cs="新細明體" w:hint="eastAsia"/>
          <w:color w:val="000000"/>
          <w:kern w:val="0"/>
          <w:szCs w:val="24"/>
          <w:lang w:bidi="ar-SA"/>
        </w:rPr>
        <w:t>務</w:t>
      </w:r>
      <w:proofErr w:type="gramEnd"/>
      <w:r w:rsidRPr="00783207">
        <w:rPr>
          <w:rFonts w:ascii="微軟正黑體" w:eastAsia="微軟正黑體" w:hAnsi="微軟正黑體" w:cs="新細明體" w:hint="eastAsia"/>
          <w:color w:val="000000"/>
          <w:kern w:val="0"/>
          <w:szCs w:val="24"/>
          <w:lang w:bidi="ar-SA"/>
        </w:rPr>
        <w:t>契約返還之特殊性。</w:t>
      </w:r>
      <w:r w:rsidRPr="00783207">
        <w:rPr>
          <w:rFonts w:ascii="微軟正黑體" w:eastAsia="微軟正黑體" w:hAnsi="微軟正黑體" w:cs="新細明體" w:hint="eastAsia"/>
          <w:color w:val="000000"/>
          <w:kern w:val="0"/>
          <w:szCs w:val="24"/>
          <w:lang w:bidi="ar-SA"/>
        </w:rPr>
        <w:br/>
        <w:t>起始頁-結束頁：193</w:t>
      </w:r>
      <w:proofErr w:type="gramStart"/>
      <w:r w:rsidRPr="00783207">
        <w:rPr>
          <w:rFonts w:ascii="微軟正黑體" w:eastAsia="微軟正黑體" w:hAnsi="微軟正黑體" w:cs="新細明體" w:hint="eastAsia"/>
          <w:color w:val="000000"/>
          <w:kern w:val="0"/>
          <w:szCs w:val="24"/>
          <w:lang w:bidi="ar-SA"/>
        </w:rPr>
        <w:t>–</w:t>
      </w:r>
      <w:proofErr w:type="gramEnd"/>
      <w:r w:rsidRPr="00783207">
        <w:rPr>
          <w:rFonts w:ascii="微軟正黑體" w:eastAsia="微軟正黑體" w:hAnsi="微軟正黑體" w:cs="新細明體" w:hint="eastAsia"/>
          <w:color w:val="000000"/>
          <w:kern w:val="0"/>
          <w:szCs w:val="24"/>
          <w:lang w:bidi="ar-SA"/>
        </w:rPr>
        <w:t xml:space="preserve"> 242。</w:t>
      </w:r>
    </w:p>
    <w:p w:rsidR="00312AA9" w:rsidRPr="00783207" w:rsidRDefault="00312AA9" w:rsidP="00783207"/>
    <w:sectPr w:rsidR="00312AA9" w:rsidRPr="00783207" w:rsidSect="00783207">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207"/>
    <w:rsid w:val="00312AA9"/>
    <w:rsid w:val="00783207"/>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14EB1"/>
  <w15:chartTrackingRefBased/>
  <w15:docId w15:val="{1E96FE9A-E6AE-4583-A9FA-C647C297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he-I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2">
    <w:name w:val="heading 2"/>
    <w:basedOn w:val="a"/>
    <w:link w:val="20"/>
    <w:uiPriority w:val="9"/>
    <w:qFormat/>
    <w:rsid w:val="00783207"/>
    <w:pPr>
      <w:widowControl/>
      <w:spacing w:before="100" w:beforeAutospacing="1" w:after="100" w:afterAutospacing="1"/>
      <w:outlineLvl w:val="1"/>
    </w:pPr>
    <w:rPr>
      <w:rFonts w:ascii="新細明體" w:eastAsia="新細明體" w:hAnsi="新細明體" w:cs="新細明體"/>
      <w:b/>
      <w:bCs/>
      <w:kern w:val="0"/>
      <w:sz w:val="36"/>
      <w:szCs w:val="3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783207"/>
    <w:rPr>
      <w:rFonts w:ascii="新細明體" w:eastAsia="新細明體" w:hAnsi="新細明體" w:cs="新細明體"/>
      <w:b/>
      <w:bCs/>
      <w:kern w:val="0"/>
      <w:sz w:val="36"/>
      <w:szCs w:val="36"/>
      <w:lang w:bidi="ar-SA"/>
    </w:rPr>
  </w:style>
  <w:style w:type="paragraph" w:styleId="Web">
    <w:name w:val="Normal (Web)"/>
    <w:basedOn w:val="a"/>
    <w:uiPriority w:val="99"/>
    <w:semiHidden/>
    <w:unhideWhenUsed/>
    <w:rsid w:val="00783207"/>
    <w:pPr>
      <w:widowControl/>
      <w:spacing w:before="100" w:beforeAutospacing="1" w:after="100" w:afterAutospacing="1"/>
    </w:pPr>
    <w:rPr>
      <w:rFonts w:ascii="新細明體" w:eastAsia="新細明體" w:hAnsi="新細明體" w:cs="新細明體"/>
      <w:kern w:val="0"/>
      <w:szCs w:val="24"/>
      <w:lang w:bidi="ar-SA"/>
    </w:rPr>
  </w:style>
  <w:style w:type="character" w:styleId="a3">
    <w:name w:val="Hyperlink"/>
    <w:basedOn w:val="a0"/>
    <w:uiPriority w:val="99"/>
    <w:unhideWhenUsed/>
    <w:rsid w:val="00783207"/>
    <w:rPr>
      <w:color w:val="0000FF" w:themeColor="hyperlink"/>
      <w:u w:val="single"/>
    </w:rPr>
  </w:style>
  <w:style w:type="character" w:styleId="a4">
    <w:name w:val="Unresolved Mention"/>
    <w:basedOn w:val="a0"/>
    <w:uiPriority w:val="99"/>
    <w:semiHidden/>
    <w:unhideWhenUsed/>
    <w:rsid w:val="00783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479181">
      <w:bodyDiv w:val="1"/>
      <w:marLeft w:val="0"/>
      <w:marRight w:val="0"/>
      <w:marTop w:val="0"/>
      <w:marBottom w:val="0"/>
      <w:divBdr>
        <w:top w:val="none" w:sz="0" w:space="0" w:color="auto"/>
        <w:left w:val="none" w:sz="0" w:space="0" w:color="auto"/>
        <w:bottom w:val="none" w:sz="0" w:space="0" w:color="auto"/>
        <w:right w:val="none" w:sz="0" w:space="0" w:color="auto"/>
      </w:divBdr>
      <w:divsChild>
        <w:div w:id="893276729">
          <w:marLeft w:val="0"/>
          <w:marRight w:val="0"/>
          <w:marTop w:val="0"/>
          <w:marBottom w:val="240"/>
          <w:divBdr>
            <w:top w:val="none" w:sz="0" w:space="0" w:color="auto"/>
            <w:left w:val="none" w:sz="0" w:space="0" w:color="auto"/>
            <w:bottom w:val="none" w:sz="0" w:space="0" w:color="auto"/>
            <w:right w:val="none" w:sz="0" w:space="0" w:color="auto"/>
          </w:divBdr>
          <w:divsChild>
            <w:div w:id="1130169753">
              <w:marLeft w:val="0"/>
              <w:marRight w:val="0"/>
              <w:marTop w:val="0"/>
              <w:marBottom w:val="0"/>
              <w:divBdr>
                <w:top w:val="none" w:sz="0" w:space="0" w:color="auto"/>
                <w:left w:val="none" w:sz="0" w:space="0" w:color="auto"/>
                <w:bottom w:val="none" w:sz="0" w:space="0" w:color="auto"/>
                <w:right w:val="none" w:sz="0" w:space="0" w:color="auto"/>
              </w:divBdr>
              <w:divsChild>
                <w:div w:id="956371047">
                  <w:marLeft w:val="0"/>
                  <w:marRight w:val="0"/>
                  <w:marTop w:val="0"/>
                  <w:marBottom w:val="0"/>
                  <w:divBdr>
                    <w:top w:val="none" w:sz="0" w:space="0" w:color="auto"/>
                    <w:left w:val="none" w:sz="0" w:space="0" w:color="auto"/>
                    <w:bottom w:val="none" w:sz="0" w:space="0" w:color="auto"/>
                    <w:right w:val="none" w:sz="0" w:space="0" w:color="auto"/>
                  </w:divBdr>
                </w:div>
                <w:div w:id="2001082161">
                  <w:marLeft w:val="0"/>
                  <w:marRight w:val="0"/>
                  <w:marTop w:val="0"/>
                  <w:marBottom w:val="0"/>
                  <w:divBdr>
                    <w:top w:val="none" w:sz="0" w:space="0" w:color="auto"/>
                    <w:left w:val="none" w:sz="0" w:space="0" w:color="auto"/>
                    <w:bottom w:val="none" w:sz="0" w:space="0" w:color="auto"/>
                    <w:right w:val="none" w:sz="0" w:space="0" w:color="auto"/>
                  </w:divBdr>
                  <w:divsChild>
                    <w:div w:id="1024214704">
                      <w:marLeft w:val="0"/>
                      <w:marRight w:val="0"/>
                      <w:marTop w:val="0"/>
                      <w:marBottom w:val="0"/>
                      <w:divBdr>
                        <w:top w:val="none" w:sz="0" w:space="0" w:color="auto"/>
                        <w:left w:val="none" w:sz="0" w:space="0" w:color="auto"/>
                        <w:bottom w:val="none" w:sz="0" w:space="0" w:color="auto"/>
                        <w:right w:val="none" w:sz="0" w:space="0" w:color="auto"/>
                      </w:divBdr>
                      <w:divsChild>
                        <w:div w:id="118629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awbank.com.tw/treatise/pl_article.aspx?AID=P0002549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wbank.com.tw/treatise/pl_article.aspx?AID=P000254880" TargetMode="External"/><Relationship Id="rId5" Type="http://schemas.openxmlformats.org/officeDocument/2006/relationships/hyperlink" Target="https://www.lawbank.com.tw/treatise/pl_article.aspx?AID=P000254899" TargetMode="External"/><Relationship Id="rId4" Type="http://schemas.openxmlformats.org/officeDocument/2006/relationships/hyperlink" Target="https://www.lawbank.com.tw/treatise/pl_article.aspx?AID=P000254898" TargetMode="Externa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307</Words>
  <Characters>1750</Characters>
  <Application>Microsoft Office Word</Application>
  <DocSecurity>0</DocSecurity>
  <Lines>14</Lines>
  <Paragraphs>4</Paragraphs>
  <ScaleCrop>false</ScaleCrop>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2023-01-11T01:38:00Z</dcterms:created>
  <dcterms:modified xsi:type="dcterms:W3CDTF">2023-01-11T01:41:00Z</dcterms:modified>
</cp:coreProperties>
</file>