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3207" w:rsidRPr="00783207" w:rsidRDefault="00270451" w:rsidP="00783207">
      <w:pPr>
        <w:widowControl/>
        <w:shd w:val="clear" w:color="auto" w:fill="FFFFFF"/>
        <w:outlineLvl w:val="1"/>
        <w:rPr>
          <w:rFonts w:ascii="inherit" w:eastAsia="微軟正黑體" w:hAnsi="inherit" w:cs="新細明體" w:hint="eastAsia"/>
          <w:b/>
          <w:bCs/>
          <w:color w:val="000000"/>
          <w:kern w:val="0"/>
          <w:sz w:val="36"/>
          <w:szCs w:val="36"/>
          <w:lang w:bidi="ar-SA"/>
        </w:rPr>
      </w:pPr>
      <w:r>
        <w:rPr>
          <w:rFonts w:ascii="inherit" w:eastAsia="微軟正黑體" w:hAnsi="inherit" w:cs="新細明體" w:hint="eastAsia"/>
          <w:b/>
          <w:bCs/>
          <w:color w:val="000000"/>
          <w:kern w:val="0"/>
          <w:sz w:val="36"/>
          <w:szCs w:val="36"/>
          <w:lang w:bidi="ar-SA"/>
        </w:rPr>
        <w:t>7</w:t>
      </w:r>
      <w:r w:rsidR="00C10A4A" w:rsidRPr="00C10A4A">
        <w:rPr>
          <w:rFonts w:ascii="inherit" w:eastAsia="微軟正黑體" w:hAnsi="inherit" w:cs="新細明體" w:hint="eastAsia"/>
          <w:b/>
          <w:bCs/>
          <w:color w:val="000000"/>
          <w:kern w:val="0"/>
          <w:sz w:val="36"/>
          <w:szCs w:val="36"/>
          <w:lang w:bidi="ar-SA"/>
        </w:rPr>
        <w:t>卷</w:t>
      </w:r>
      <w:r>
        <w:rPr>
          <w:rFonts w:ascii="inherit" w:eastAsia="微軟正黑體" w:hAnsi="inherit" w:cs="新細明體" w:hint="eastAsia"/>
          <w:b/>
          <w:bCs/>
          <w:color w:val="000000"/>
          <w:kern w:val="0"/>
          <w:sz w:val="36"/>
          <w:szCs w:val="36"/>
          <w:lang w:bidi="ar-SA"/>
        </w:rPr>
        <w:t>2</w:t>
      </w:r>
      <w:r w:rsidR="00C10A4A" w:rsidRPr="00C10A4A">
        <w:rPr>
          <w:rFonts w:ascii="inherit" w:eastAsia="微軟正黑體" w:hAnsi="inherit" w:cs="新細明體" w:hint="eastAsia"/>
          <w:b/>
          <w:bCs/>
          <w:color w:val="000000"/>
          <w:kern w:val="0"/>
          <w:sz w:val="36"/>
          <w:szCs w:val="36"/>
          <w:lang w:bidi="ar-SA"/>
        </w:rPr>
        <w:t>期（</w:t>
      </w:r>
      <w:r w:rsidR="00C10A4A" w:rsidRPr="00C10A4A">
        <w:rPr>
          <w:rFonts w:ascii="inherit" w:eastAsia="微軟正黑體" w:hAnsi="inherit" w:cs="新細明體" w:hint="eastAsia"/>
          <w:b/>
          <w:bCs/>
          <w:color w:val="000000"/>
          <w:kern w:val="0"/>
          <w:sz w:val="36"/>
          <w:szCs w:val="36"/>
          <w:lang w:bidi="ar-SA"/>
        </w:rPr>
        <w:t>202</w:t>
      </w:r>
      <w:r>
        <w:rPr>
          <w:rFonts w:ascii="inherit" w:eastAsia="微軟正黑體" w:hAnsi="inherit" w:cs="新細明體" w:hint="eastAsia"/>
          <w:b/>
          <w:bCs/>
          <w:color w:val="000000"/>
          <w:kern w:val="0"/>
          <w:sz w:val="36"/>
          <w:szCs w:val="36"/>
          <w:lang w:bidi="ar-SA"/>
        </w:rPr>
        <w:t>0</w:t>
      </w:r>
      <w:r w:rsidR="00C10A4A" w:rsidRPr="00C10A4A">
        <w:rPr>
          <w:rFonts w:ascii="inherit" w:eastAsia="微軟正黑體" w:hAnsi="inherit" w:cs="新細明體" w:hint="eastAsia"/>
          <w:b/>
          <w:bCs/>
          <w:color w:val="000000"/>
          <w:kern w:val="0"/>
          <w:sz w:val="36"/>
          <w:szCs w:val="36"/>
          <w:lang w:bidi="ar-SA"/>
        </w:rPr>
        <w:t>年</w:t>
      </w:r>
      <w:r w:rsidR="00C10A4A" w:rsidRPr="00C10A4A">
        <w:rPr>
          <w:rFonts w:ascii="inherit" w:eastAsia="微軟正黑體" w:hAnsi="inherit" w:cs="新細明體" w:hint="eastAsia"/>
          <w:b/>
          <w:bCs/>
          <w:color w:val="000000"/>
          <w:kern w:val="0"/>
          <w:sz w:val="36"/>
          <w:szCs w:val="36"/>
          <w:lang w:bidi="ar-SA"/>
        </w:rPr>
        <w:t>0</w:t>
      </w:r>
      <w:r>
        <w:rPr>
          <w:rFonts w:ascii="inherit" w:eastAsia="微軟正黑體" w:hAnsi="inherit" w:cs="新細明體" w:hint="eastAsia"/>
          <w:b/>
          <w:bCs/>
          <w:color w:val="000000"/>
          <w:kern w:val="0"/>
          <w:sz w:val="36"/>
          <w:szCs w:val="36"/>
          <w:lang w:bidi="ar-SA"/>
        </w:rPr>
        <w:t>8</w:t>
      </w:r>
      <w:r w:rsidR="00C10A4A" w:rsidRPr="00C10A4A">
        <w:rPr>
          <w:rFonts w:ascii="inherit" w:eastAsia="微軟正黑體" w:hAnsi="inherit" w:cs="新細明體" w:hint="eastAsia"/>
          <w:b/>
          <w:bCs/>
          <w:color w:val="000000"/>
          <w:kern w:val="0"/>
          <w:sz w:val="36"/>
          <w:szCs w:val="36"/>
          <w:lang w:bidi="ar-SA"/>
        </w:rPr>
        <w:t>月</w:t>
      </w:r>
      <w:r w:rsidR="00C10A4A" w:rsidRPr="00C10A4A">
        <w:rPr>
          <w:rFonts w:ascii="inherit" w:eastAsia="微軟正黑體" w:hAnsi="inherit" w:cs="新細明體" w:hint="eastAsia"/>
          <w:b/>
          <w:bCs/>
          <w:color w:val="000000"/>
          <w:kern w:val="0"/>
          <w:sz w:val="36"/>
          <w:szCs w:val="36"/>
          <w:lang w:bidi="ar-SA"/>
        </w:rPr>
        <w:t>01</w:t>
      </w:r>
      <w:r w:rsidR="00C10A4A" w:rsidRPr="00C10A4A">
        <w:rPr>
          <w:rFonts w:ascii="inherit" w:eastAsia="微軟正黑體" w:hAnsi="inherit" w:cs="新細明體" w:hint="eastAsia"/>
          <w:b/>
          <w:bCs/>
          <w:color w:val="000000"/>
          <w:kern w:val="0"/>
          <w:sz w:val="36"/>
          <w:szCs w:val="36"/>
          <w:lang w:bidi="ar-SA"/>
        </w:rPr>
        <w:t>日）</w:t>
      </w:r>
    </w:p>
    <w:p w:rsidR="004D2F93" w:rsidRDefault="00783207" w:rsidP="00CC43C4">
      <w:pPr>
        <w:widowControl/>
        <w:shd w:val="clear" w:color="auto" w:fill="FFFFFF"/>
        <w:spacing w:after="150" w:line="480" w:lineRule="atLeast"/>
        <w:jc w:val="both"/>
        <w:rPr>
          <w:rFonts w:ascii="微軟正黑體" w:eastAsia="微軟正黑體" w:hAnsi="微軟正黑體" w:cs="新細明體"/>
          <w:color w:val="000000"/>
          <w:kern w:val="0"/>
          <w:szCs w:val="24"/>
          <w:lang w:bidi="ar-SA"/>
        </w:rPr>
      </w:pPr>
      <w:r w:rsidRPr="00783207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一、</w:t>
      </w:r>
      <w:r w:rsidRPr="00783207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br/>
        <w:t>篇名：</w:t>
      </w:r>
      <w:r w:rsidR="00CC43C4" w:rsidRPr="00CC43C4">
        <w:rPr>
          <w:rFonts w:ascii="微軟正黑體" w:eastAsia="微軟正黑體" w:hAnsi="微軟正黑體" w:cs="新細明體"/>
          <w:color w:val="000000"/>
          <w:kern w:val="0"/>
          <w:szCs w:val="24"/>
          <w:lang w:bidi="ar-SA"/>
        </w:rPr>
        <w:tab/>
      </w:r>
      <w:hyperlink r:id="rId6" w:history="1">
        <w:r w:rsidR="00323579" w:rsidRPr="00323579">
          <w:rPr>
            <w:rStyle w:val="a3"/>
            <w:rFonts w:ascii="微軟正黑體" w:eastAsia="微軟正黑體" w:hAnsi="微軟正黑體" w:cs="新細明體" w:hint="eastAsia"/>
            <w:kern w:val="0"/>
            <w:szCs w:val="24"/>
            <w:lang w:bidi="ar-SA"/>
          </w:rPr>
          <w:t>民眾電子連署內容與政府回應方式：以提點子平</w:t>
        </w:r>
        <w:proofErr w:type="gramStart"/>
        <w:r w:rsidR="00323579" w:rsidRPr="00323579">
          <w:rPr>
            <w:rStyle w:val="a3"/>
            <w:rFonts w:ascii="微軟正黑體" w:eastAsia="微軟正黑體" w:hAnsi="微軟正黑體" w:cs="新細明體" w:hint="eastAsia"/>
            <w:kern w:val="0"/>
            <w:szCs w:val="24"/>
            <w:lang w:bidi="ar-SA"/>
          </w:rPr>
          <w:t>臺</w:t>
        </w:r>
        <w:proofErr w:type="gramEnd"/>
        <w:r w:rsidR="00323579" w:rsidRPr="00323579">
          <w:rPr>
            <w:rStyle w:val="a3"/>
            <w:rFonts w:ascii="微軟正黑體" w:eastAsia="微軟正黑體" w:hAnsi="微軟正黑體" w:cs="新細明體" w:hint="eastAsia"/>
            <w:kern w:val="0"/>
            <w:szCs w:val="24"/>
            <w:lang w:bidi="ar-SA"/>
          </w:rPr>
          <w:t>為例</w:t>
        </w:r>
      </w:hyperlink>
    </w:p>
    <w:p w:rsidR="00783207" w:rsidRPr="00783207" w:rsidRDefault="00783207" w:rsidP="00CC43C4">
      <w:pPr>
        <w:widowControl/>
        <w:shd w:val="clear" w:color="auto" w:fill="FFFFFF"/>
        <w:spacing w:after="150" w:line="480" w:lineRule="atLeast"/>
        <w:jc w:val="both"/>
        <w:rPr>
          <w:rFonts w:ascii="微軟正黑體" w:eastAsia="微軟正黑體" w:hAnsi="微軟正黑體" w:cs="新細明體"/>
          <w:color w:val="000000"/>
          <w:kern w:val="0"/>
          <w:szCs w:val="24"/>
          <w:lang w:bidi="ar-SA"/>
        </w:rPr>
      </w:pPr>
      <w:r w:rsidRPr="00783207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作者：</w:t>
      </w:r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陳坤毅(</w:t>
      </w:r>
      <w:proofErr w:type="spellStart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Kun</w:t>
      </w:r>
      <w:proofErr w:type="spellEnd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-Yi Chen)；黃心怡(</w:t>
      </w:r>
      <w:proofErr w:type="spellStart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Hsini</w:t>
      </w:r>
      <w:proofErr w:type="spellEnd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 xml:space="preserve"> Huang)</w:t>
      </w:r>
      <w:r w:rsidRPr="00783207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br/>
        <w:t>出版年：202</w:t>
      </w:r>
      <w:r w:rsid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0</w:t>
      </w:r>
      <w:r w:rsidRPr="00783207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br/>
        <w:t>中文摘要：</w:t>
      </w:r>
      <w:proofErr w:type="gramStart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太陽花學運</w:t>
      </w:r>
      <w:proofErr w:type="gramEnd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後，政府為了因應社會對於公民直接追求公共參與的壓力，設置「公共政策網路參與平</w:t>
      </w:r>
      <w:proofErr w:type="gramStart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臺</w:t>
      </w:r>
      <w:proofErr w:type="gramEnd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」（又稱Join平</w:t>
      </w:r>
      <w:proofErr w:type="gramStart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臺</w:t>
      </w:r>
      <w:proofErr w:type="gramEnd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）。其中，「提點子」此一功能，具有電子連署的機制，即公民可自行</w:t>
      </w:r>
      <w:proofErr w:type="gramStart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研</w:t>
      </w:r>
      <w:proofErr w:type="gramEnd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擬提案，政府必須在一定時間內回應。本研究希望探討平</w:t>
      </w:r>
      <w:proofErr w:type="gramStart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臺</w:t>
      </w:r>
      <w:proofErr w:type="gramEnd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上政府的回應情形，解釋民眾提案的哪些因素影響政府回應。利用平</w:t>
      </w:r>
      <w:proofErr w:type="gramStart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臺</w:t>
      </w:r>
      <w:proofErr w:type="gramEnd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上的公開資訊，本研究蒐集2015年9月至2018年12月間通過連署門檻且已被政府機關正式回應的156則民眾提案。研究分析發現，Join平</w:t>
      </w:r>
      <w:proofErr w:type="gramStart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臺</w:t>
      </w:r>
      <w:proofErr w:type="gramEnd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提供公民一個不同於過去，有雙向互動的政府對話管道，甚至出現民眾參與政策過程與改變政策的契機。然而，政府的回應方式並不同質，當民眾提案是涉及機關較多</w:t>
      </w:r>
      <w:proofErr w:type="gramStart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的跨域議題</w:t>
      </w:r>
      <w:proofErr w:type="gramEnd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時，提案內容有愈多論證來源，以及民意關注度愈高時，其形式及參與回應都有較佳的表現。隨著電子連署平</w:t>
      </w:r>
      <w:proofErr w:type="gramStart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臺</w:t>
      </w:r>
      <w:proofErr w:type="gramEnd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的演進，本研究也發現政府在形式上的回應速度儘管變慢了，但參與回應程度卻有改善，由此可窺見政府機關在回應電子公民參與上的學習及變化。</w:t>
      </w:r>
      <w:r w:rsidRPr="00783207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br/>
        <w:t>起始頁-結束頁：1</w:t>
      </w:r>
      <w:proofErr w:type="gramStart"/>
      <w:r w:rsidRPr="00783207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–</w:t>
      </w:r>
      <w:proofErr w:type="gramEnd"/>
      <w:r w:rsid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4</w:t>
      </w:r>
      <w:r w:rsidR="00F73796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0</w:t>
      </w:r>
      <w:r w:rsidRPr="00783207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。</w:t>
      </w:r>
    </w:p>
    <w:p w:rsidR="00F73796" w:rsidRDefault="00F73796" w:rsidP="00ED2728">
      <w:pPr>
        <w:widowControl/>
        <w:shd w:val="clear" w:color="auto" w:fill="FFFFFF"/>
        <w:spacing w:after="150" w:line="480" w:lineRule="atLeast"/>
        <w:jc w:val="both"/>
        <w:rPr>
          <w:rFonts w:ascii="微軟正黑體" w:eastAsia="微軟正黑體" w:hAnsi="微軟正黑體" w:cs="新細明體"/>
          <w:color w:val="000000"/>
          <w:kern w:val="0"/>
          <w:szCs w:val="24"/>
          <w:lang w:bidi="ar-SA"/>
        </w:rPr>
      </w:pPr>
    </w:p>
    <w:p w:rsidR="00323579" w:rsidRDefault="00323579" w:rsidP="00ED2728">
      <w:pPr>
        <w:widowControl/>
        <w:shd w:val="clear" w:color="auto" w:fill="FFFFFF"/>
        <w:spacing w:after="150" w:line="480" w:lineRule="atLeast"/>
        <w:jc w:val="both"/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</w:pPr>
    </w:p>
    <w:p w:rsidR="004D2F93" w:rsidRDefault="00783207" w:rsidP="00323579">
      <w:pPr>
        <w:rPr>
          <w:rFonts w:ascii="微軟正黑體" w:eastAsia="微軟正黑體" w:hAnsi="微軟正黑體" w:cs="新細明體"/>
          <w:color w:val="000000"/>
          <w:kern w:val="0"/>
          <w:szCs w:val="24"/>
          <w:lang w:bidi="ar-SA"/>
        </w:rPr>
      </w:pPr>
      <w:r w:rsidRPr="00783207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lastRenderedPageBreak/>
        <w:t>二、</w:t>
      </w:r>
      <w:r w:rsidRPr="00783207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br/>
        <w:t>篇名：</w:t>
      </w:r>
      <w:r w:rsidR="00323579">
        <w:rPr>
          <w:rFonts w:ascii="微軟正黑體" w:eastAsia="微軟正黑體" w:hAnsi="微軟正黑體" w:cs="新細明體"/>
          <w:color w:val="000000"/>
          <w:kern w:val="0"/>
          <w:szCs w:val="24"/>
          <w:lang w:bidi="ar-SA"/>
        </w:rPr>
        <w:fldChar w:fldCharType="begin"/>
      </w:r>
      <w:r w:rsidR="00323579">
        <w:rPr>
          <w:rFonts w:ascii="微軟正黑體" w:eastAsia="微軟正黑體" w:hAnsi="微軟正黑體" w:cs="新細明體"/>
          <w:color w:val="000000"/>
          <w:kern w:val="0"/>
          <w:szCs w:val="24"/>
          <w:lang w:bidi="ar-SA"/>
        </w:rPr>
        <w:instrText xml:space="preserve"> HYPERLINK "https://www.airitilibrary.com/Publication/alDetailedMesh?DocID=P20161222001-202008-202010160008-202010160008-41-79&amp;PublishTypeID=P001" </w:instrText>
      </w:r>
      <w:r w:rsidR="00323579">
        <w:rPr>
          <w:rFonts w:ascii="微軟正黑體" w:eastAsia="微軟正黑體" w:hAnsi="微軟正黑體" w:cs="新細明體"/>
          <w:color w:val="000000"/>
          <w:kern w:val="0"/>
          <w:szCs w:val="24"/>
          <w:lang w:bidi="ar-SA"/>
        </w:rPr>
      </w:r>
      <w:r w:rsidR="00323579">
        <w:rPr>
          <w:rFonts w:ascii="微軟正黑體" w:eastAsia="微軟正黑體" w:hAnsi="微軟正黑體" w:cs="新細明體"/>
          <w:color w:val="000000"/>
          <w:kern w:val="0"/>
          <w:szCs w:val="24"/>
          <w:lang w:bidi="ar-SA"/>
        </w:rPr>
        <w:fldChar w:fldCharType="separate"/>
      </w:r>
      <w:r w:rsidR="00323579" w:rsidRPr="00323579">
        <w:rPr>
          <w:rStyle w:val="a3"/>
          <w:rFonts w:ascii="微軟正黑體" w:eastAsia="微軟正黑體" w:hAnsi="微軟正黑體" w:cs="新細明體" w:hint="eastAsia"/>
          <w:kern w:val="0"/>
          <w:szCs w:val="24"/>
          <w:lang w:bidi="ar-SA"/>
        </w:rPr>
        <w:t>中國因素影響下臺灣媒體人的日常抵抗：對民主防衛的啟示</w:t>
      </w:r>
      <w:r w:rsidR="00323579">
        <w:rPr>
          <w:rFonts w:ascii="微軟正黑體" w:eastAsia="微軟正黑體" w:hAnsi="微軟正黑體" w:cs="新細明體"/>
          <w:color w:val="000000"/>
          <w:kern w:val="0"/>
          <w:szCs w:val="24"/>
          <w:lang w:bidi="ar-SA"/>
        </w:rPr>
        <w:fldChar w:fldCharType="end"/>
      </w:r>
      <w:r w:rsidR="00323579">
        <w:rPr>
          <w:rFonts w:ascii="微軟正黑體" w:eastAsia="微軟正黑體" w:hAnsi="微軟正黑體" w:cs="新細明體"/>
          <w:color w:val="000000"/>
          <w:kern w:val="0"/>
          <w:szCs w:val="24"/>
          <w:lang w:bidi="ar-SA"/>
        </w:rPr>
        <w:t xml:space="preserve"> </w:t>
      </w:r>
    </w:p>
    <w:p w:rsidR="00376604" w:rsidRDefault="00783207" w:rsidP="00ED2728">
      <w:pPr>
        <w:widowControl/>
        <w:shd w:val="clear" w:color="auto" w:fill="FFFFFF"/>
        <w:spacing w:after="150" w:line="480" w:lineRule="atLeast"/>
        <w:jc w:val="both"/>
        <w:rPr>
          <w:rFonts w:ascii="微軟正黑體" w:eastAsia="微軟正黑體" w:hAnsi="微軟正黑體" w:cs="新細明體"/>
          <w:color w:val="000000"/>
          <w:kern w:val="0"/>
          <w:szCs w:val="24"/>
          <w:lang w:bidi="ar-SA"/>
        </w:rPr>
      </w:pPr>
      <w:r w:rsidRPr="00783207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作者：</w:t>
      </w:r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黃兆年(Jaw-</w:t>
      </w:r>
      <w:proofErr w:type="spellStart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Nian</w:t>
      </w:r>
      <w:proofErr w:type="spellEnd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 xml:space="preserve"> Huang ；林雨</w:t>
      </w:r>
      <w:proofErr w:type="gramStart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璇</w:t>
      </w:r>
      <w:proofErr w:type="gramEnd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(Yu-</w:t>
      </w:r>
      <w:proofErr w:type="spellStart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Shiuan</w:t>
      </w:r>
      <w:proofErr w:type="spellEnd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 xml:space="preserve"> Lin)</w:t>
      </w:r>
      <w:r w:rsidR="00376604">
        <w:rPr>
          <w:rFonts w:ascii="微軟正黑體" w:eastAsia="微軟正黑體" w:hAnsi="微軟正黑體" w:cs="新細明體"/>
          <w:color w:val="000000"/>
          <w:kern w:val="0"/>
          <w:szCs w:val="24"/>
          <w:lang w:bidi="ar-SA"/>
        </w:rPr>
        <w:br/>
      </w:r>
      <w:r w:rsidRPr="00783207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出版年：202</w:t>
      </w:r>
      <w:r w:rsid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0</w:t>
      </w:r>
      <w:r w:rsidRPr="00783207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br/>
        <w:t>中文摘要：</w:t>
      </w:r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國際社會日益關注中國崛起對全球民主發展的影響，許多研究已指出「中國因素」對臺灣媒體與新聞自由構成潛在衝擊，但卻較少探討臺灣新聞工作者如何回應中國因素的影響。本研究嘗試基於問卷調查與深度訪談結果，初步歸納臺灣新聞工作者對中國因素影響的認知、評價及抵抗策略。研究發現：在臺灣新聞媒體圈，中國因素導致的自我審查與置入行銷相當普遍，但面對這些中國因素的影響，大部分受訪者表達既</w:t>
      </w:r>
      <w:proofErr w:type="gramStart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不</w:t>
      </w:r>
      <w:proofErr w:type="gramEnd"/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認同也無法接受，此時新聞工作者最常採取的抵抗策略依序包括：日常抵抗、內部抵抗、離開公司或媒體，以及外部抵抗。儘管上述行動受到組織內外不同制度條件的制約，但都根源於行動者共享的內在驅動力，亦即對新聞專業價值的信仰與堅持。在現今中國「銳實力」向外擴張的脈絡下，本研究主張臺灣應持續以價值理念為基底的「軟實力」作為回應，期能為「民主防衛機制」的建構提供若干啟示。</w:t>
      </w:r>
    </w:p>
    <w:p w:rsidR="00783207" w:rsidRPr="00783207" w:rsidRDefault="00783207" w:rsidP="00ED2728">
      <w:pPr>
        <w:widowControl/>
        <w:shd w:val="clear" w:color="auto" w:fill="FFFFFF"/>
        <w:spacing w:after="150" w:line="480" w:lineRule="atLeast"/>
        <w:jc w:val="both"/>
        <w:rPr>
          <w:rFonts w:ascii="微軟正黑體" w:eastAsia="微軟正黑體" w:hAnsi="微軟正黑體" w:cs="新細明體"/>
          <w:color w:val="000000"/>
          <w:kern w:val="0"/>
          <w:szCs w:val="24"/>
          <w:lang w:bidi="ar-SA"/>
        </w:rPr>
      </w:pPr>
      <w:r w:rsidRPr="00783207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起始頁-結束頁：</w:t>
      </w:r>
      <w:r w:rsid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41-79</w:t>
      </w:r>
      <w:r w:rsidRPr="00783207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。</w:t>
      </w:r>
    </w:p>
    <w:p w:rsidR="00376604" w:rsidRDefault="00376604" w:rsidP="00ED2728">
      <w:pPr>
        <w:widowControl/>
        <w:shd w:val="clear" w:color="auto" w:fill="FFFFFF"/>
        <w:spacing w:after="150" w:line="480" w:lineRule="atLeast"/>
        <w:jc w:val="both"/>
        <w:rPr>
          <w:rFonts w:ascii="微軟正黑體" w:eastAsia="微軟正黑體" w:hAnsi="微軟正黑體" w:cs="新細明體"/>
          <w:color w:val="000000"/>
          <w:kern w:val="0"/>
          <w:szCs w:val="24"/>
          <w:lang w:bidi="ar-SA"/>
        </w:rPr>
      </w:pPr>
    </w:p>
    <w:p w:rsidR="004D2F93" w:rsidRDefault="00783207" w:rsidP="00C10A4A">
      <w:pPr>
        <w:widowControl/>
        <w:shd w:val="clear" w:color="auto" w:fill="FFFFFF"/>
        <w:spacing w:after="150" w:line="480" w:lineRule="atLeast"/>
        <w:jc w:val="both"/>
        <w:rPr>
          <w:rFonts w:ascii="微軟正黑體" w:eastAsia="微軟正黑體" w:hAnsi="微軟正黑體" w:cs="新細明體"/>
          <w:color w:val="000000"/>
          <w:kern w:val="0"/>
          <w:szCs w:val="24"/>
          <w:lang w:bidi="ar-SA"/>
        </w:rPr>
      </w:pPr>
      <w:r w:rsidRPr="00783207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三、</w:t>
      </w:r>
      <w:r w:rsidRPr="00783207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br/>
        <w:t>篇名：</w:t>
      </w:r>
      <w:hyperlink r:id="rId7" w:history="1">
        <w:r w:rsidR="00323579" w:rsidRPr="00323579">
          <w:rPr>
            <w:rStyle w:val="a3"/>
            <w:rFonts w:ascii="微軟正黑體" w:eastAsia="微軟正黑體" w:hAnsi="微軟正黑體" w:cs="新細明體" w:hint="eastAsia"/>
            <w:kern w:val="0"/>
            <w:szCs w:val="24"/>
            <w:lang w:bidi="ar-SA"/>
          </w:rPr>
          <w:t>民族國家</w:t>
        </w:r>
        <w:proofErr w:type="gramStart"/>
        <w:r w:rsidR="00323579" w:rsidRPr="00323579">
          <w:rPr>
            <w:rStyle w:val="a3"/>
            <w:rFonts w:ascii="微軟正黑體" w:eastAsia="微軟正黑體" w:hAnsi="微軟正黑體" w:cs="新細明體" w:hint="eastAsia"/>
            <w:kern w:val="0"/>
            <w:szCs w:val="24"/>
            <w:lang w:bidi="ar-SA"/>
          </w:rPr>
          <w:t>與贊米</w:t>
        </w:r>
        <w:proofErr w:type="gramEnd"/>
        <w:r w:rsidR="00323579" w:rsidRPr="00323579">
          <w:rPr>
            <w:rStyle w:val="a3"/>
            <w:rFonts w:ascii="微軟正黑體" w:eastAsia="微軟正黑體" w:hAnsi="微軟正黑體" w:cs="新細明體" w:hint="eastAsia"/>
            <w:kern w:val="0"/>
            <w:szCs w:val="24"/>
            <w:lang w:bidi="ar-SA"/>
          </w:rPr>
          <w:t>亞：</w:t>
        </w:r>
        <w:proofErr w:type="gramStart"/>
        <w:r w:rsidR="00323579" w:rsidRPr="00323579">
          <w:rPr>
            <w:rStyle w:val="a3"/>
            <w:rFonts w:ascii="微軟正黑體" w:eastAsia="微軟正黑體" w:hAnsi="微軟正黑體" w:cs="新細明體" w:hint="eastAsia"/>
            <w:kern w:val="0"/>
            <w:szCs w:val="24"/>
            <w:lang w:bidi="ar-SA"/>
          </w:rPr>
          <w:t>雜揉</w:t>
        </w:r>
        <w:proofErr w:type="gramEnd"/>
        <w:r w:rsidR="00323579" w:rsidRPr="00323579">
          <w:rPr>
            <w:rStyle w:val="a3"/>
            <w:rFonts w:ascii="微軟正黑體" w:eastAsia="微軟正黑體" w:hAnsi="微軟正黑體" w:cs="新細明體" w:hint="eastAsia"/>
            <w:kern w:val="0"/>
            <w:szCs w:val="24"/>
            <w:lang w:bidi="ar-SA"/>
          </w:rPr>
          <w:t>的緬北政治社會發展</w:t>
        </w:r>
        <w:proofErr w:type="gramStart"/>
        <w:r w:rsidR="00323579" w:rsidRPr="00323579">
          <w:rPr>
            <w:rStyle w:val="a3"/>
            <w:rFonts w:ascii="微軟正黑體" w:eastAsia="微軟正黑體" w:hAnsi="微軟正黑體" w:cs="新細明體" w:hint="eastAsia"/>
            <w:kern w:val="0"/>
            <w:szCs w:val="24"/>
            <w:lang w:bidi="ar-SA"/>
          </w:rPr>
          <w:t>與緬中關係</w:t>
        </w:r>
        <w:proofErr w:type="gramEnd"/>
      </w:hyperlink>
      <w:bookmarkStart w:id="0" w:name="_GoBack"/>
      <w:bookmarkEnd w:id="0"/>
      <w:r w:rsidR="00323579" w:rsidRPr="00783207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 xml:space="preserve"> </w:t>
      </w:r>
      <w:r w:rsidRPr="00783207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br/>
        <w:t>作者：</w:t>
      </w:r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趙中麒(CHAO Chung-Chi)</w:t>
      </w:r>
      <w:r w:rsidRPr="00783207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br/>
      </w:r>
      <w:r w:rsidRPr="00783207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lastRenderedPageBreak/>
        <w:t>出版年：202</w:t>
      </w:r>
      <w:r w:rsid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0</w:t>
      </w:r>
      <w:r w:rsidRPr="00783207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br/>
        <w:t>中文摘要：</w:t>
      </w:r>
      <w:r w:rsidR="00323579" w:rsidRP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J. Scott指出，大陸東南亞地區在王朝時期，各王朝沒有實際直接治理領土邊緣地區，使邊緣地區的屬國或部落存在多重政治認同。如果兩大王朝交戰，邊緣地區人民可能利用自身的間隙地位，同時提供給雙方情報，或躲入更深山地區，以避免捲入戰爭。此種逃避國家治理的相對自主又隔絕地區，被稱為「贊米亞」。贊米亞一直持續到後殖民時代，國家彷彿不存在。事實上，以緬甸為例，殖民時期緬甸的贊米亞地區，沒有被國家治理，主因不在「逃避或拒絕」，而是英國分治政策的結果。殖民時期，殖民者將殖民地視為民族國家海外領土延伸，分別透過外部劃界和內部劃界，界定緬甸地理上的空間範圍，也標定英國對邊緣地區的宗主權。緬甸獨立後，贊米亞地區人民一度透過自身民族運動，追求自身民族國家。值得注意的是，部分武裝團體在中華人民共和國的支持下，成立緬共東北軍區，企圖改變緬甸此一政治共同體的地理－政治意義，即使緬共東北軍區瓦解，中國的影響仍繼續存在，使緬甸北部的贊米亞地區不僅呈現武裝團體和國家的互抗關係，也在某個意義上成為中國領土的延伸。</w:t>
      </w:r>
    </w:p>
    <w:p w:rsidR="00783207" w:rsidRPr="00783207" w:rsidRDefault="00783207" w:rsidP="004D2F93">
      <w:pPr>
        <w:widowControl/>
        <w:shd w:val="clear" w:color="auto" w:fill="FFFFFF"/>
        <w:spacing w:after="150" w:line="480" w:lineRule="atLeast"/>
        <w:jc w:val="both"/>
        <w:rPr>
          <w:rFonts w:ascii="微軟正黑體" w:eastAsia="微軟正黑體" w:hAnsi="微軟正黑體" w:cs="新細明體"/>
          <w:color w:val="000000"/>
          <w:kern w:val="0"/>
          <w:szCs w:val="24"/>
          <w:lang w:bidi="ar-SA"/>
        </w:rPr>
      </w:pPr>
      <w:r w:rsidRPr="00783207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起始頁-結束頁：</w:t>
      </w:r>
      <w:r w:rsidR="00323579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81-123</w:t>
      </w:r>
      <w:r w:rsidRPr="00783207">
        <w:rPr>
          <w:rFonts w:ascii="微軟正黑體" w:eastAsia="微軟正黑體" w:hAnsi="微軟正黑體" w:cs="新細明體" w:hint="eastAsia"/>
          <w:color w:val="000000"/>
          <w:kern w:val="0"/>
          <w:szCs w:val="24"/>
          <w:lang w:bidi="ar-SA"/>
        </w:rPr>
        <w:t>。</w:t>
      </w:r>
    </w:p>
    <w:sectPr w:rsidR="00783207" w:rsidRPr="00783207" w:rsidSect="0078320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6888" w:rsidRDefault="008C6888" w:rsidP="00B33482">
      <w:r>
        <w:separator/>
      </w:r>
    </w:p>
  </w:endnote>
  <w:endnote w:type="continuationSeparator" w:id="0">
    <w:p w:rsidR="008C6888" w:rsidRDefault="008C6888" w:rsidP="00B334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6888" w:rsidRDefault="008C6888" w:rsidP="00B33482">
      <w:r>
        <w:separator/>
      </w:r>
    </w:p>
  </w:footnote>
  <w:footnote w:type="continuationSeparator" w:id="0">
    <w:p w:rsidR="008C6888" w:rsidRDefault="008C6888" w:rsidP="00B334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207"/>
    <w:rsid w:val="00171003"/>
    <w:rsid w:val="00270451"/>
    <w:rsid w:val="00312AA9"/>
    <w:rsid w:val="00323579"/>
    <w:rsid w:val="00376604"/>
    <w:rsid w:val="004D2F93"/>
    <w:rsid w:val="006F3ABB"/>
    <w:rsid w:val="00783207"/>
    <w:rsid w:val="00821C3F"/>
    <w:rsid w:val="008C6888"/>
    <w:rsid w:val="008D1665"/>
    <w:rsid w:val="008F68C4"/>
    <w:rsid w:val="00B05184"/>
    <w:rsid w:val="00B33482"/>
    <w:rsid w:val="00C10A4A"/>
    <w:rsid w:val="00C81EEF"/>
    <w:rsid w:val="00C8767F"/>
    <w:rsid w:val="00CC43C4"/>
    <w:rsid w:val="00D57235"/>
    <w:rsid w:val="00D95CA1"/>
    <w:rsid w:val="00E1234D"/>
    <w:rsid w:val="00E30A17"/>
    <w:rsid w:val="00ED2728"/>
    <w:rsid w:val="00F73796"/>
    <w:rsid w:val="00F73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39A1B7"/>
  <w15:chartTrackingRefBased/>
  <w15:docId w15:val="{1E96FE9A-E6AE-4583-A9FA-C647C2976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he-I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78320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83207"/>
    <w:rPr>
      <w:rFonts w:ascii="新細明體" w:eastAsia="新細明體" w:hAnsi="新細明體" w:cs="新細明體"/>
      <w:b/>
      <w:bCs/>
      <w:kern w:val="0"/>
      <w:sz w:val="36"/>
      <w:szCs w:val="36"/>
      <w:lang w:bidi="ar-SA"/>
    </w:rPr>
  </w:style>
  <w:style w:type="paragraph" w:styleId="Web">
    <w:name w:val="Normal (Web)"/>
    <w:basedOn w:val="a"/>
    <w:uiPriority w:val="99"/>
    <w:semiHidden/>
    <w:unhideWhenUsed/>
    <w:rsid w:val="0078320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  <w:lang w:bidi="ar-SA"/>
    </w:rPr>
  </w:style>
  <w:style w:type="character" w:styleId="a3">
    <w:name w:val="Hyperlink"/>
    <w:basedOn w:val="a0"/>
    <w:uiPriority w:val="99"/>
    <w:unhideWhenUsed/>
    <w:rsid w:val="00783207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783207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B334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3348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334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3348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4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2767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6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37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82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21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291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43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airitilibrary.com/Publication/alDetailedMesh?DocID=P20161222001-202008-202010160008-202010160008-81-123&amp;PublishTypeID=P00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airitilibrary.com/Publication/alDetailedMesh?DocID=P20161222001-202008-202010160008-202010160008-1-40&amp;PublishTypeID=P00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964</Words>
  <Characters>1013</Characters>
  <Application>Microsoft Office Word</Application>
  <DocSecurity>0</DocSecurity>
  <Lines>36</Lines>
  <Paragraphs>11</Paragraphs>
  <ScaleCrop>false</ScaleCrop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2023-01-11T02:36:00Z</dcterms:created>
  <dcterms:modified xsi:type="dcterms:W3CDTF">2023-01-11T02:38:00Z</dcterms:modified>
</cp:coreProperties>
</file>